
<file path=[Content_Types].xml><?xml version="1.0" encoding="utf-8"?>
<Types xmlns="http://schemas.openxmlformats.org/package/2006/content-types">
  <Override PartName="/word/footnotes.xml" ContentType="application/vnd.openxmlformats-officedocument.wordprocessingml.footnot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0" w:before="0" w:line="360" w:lineRule="atLeast"/>
      </w:pPr>
      <w:r>
        <w:rPr>
          <w:sz w:val="22"/>
          <w:i/>
          <w:szCs w:val="22"/>
          <w:iCs/>
          <w:rFonts w:cs="Arial"/>
          <w:lang w:val="es-MX"/>
        </w:rPr>
        <w:t>Pontificia Universidad Javeriana</w:t>
      </w:r>
    </w:p>
    <w:p>
      <w:pPr>
        <w:pStyle w:val="style27"/>
        <w:spacing w:after="0" w:before="0" w:line="360" w:lineRule="atLeast"/>
      </w:pPr>
      <w:r>
        <w:rPr>
          <w:sz w:val="22"/>
          <w:i/>
          <w:szCs w:val="22"/>
          <w:iCs/>
          <w:rFonts w:cs="Arial"/>
          <w:lang w:val="es-MX"/>
        </w:rPr>
        <w:t>Carrera: Ciencia de la información - Bibliotecología</w:t>
      </w:r>
    </w:p>
    <w:p>
      <w:pPr>
        <w:pStyle w:val="style27"/>
        <w:spacing w:after="0" w:before="0" w:line="360" w:lineRule="atLeast"/>
      </w:pPr>
      <w:r>
        <w:rPr>
          <w:sz w:val="22"/>
          <w:i/>
          <w:szCs w:val="22"/>
          <w:iCs/>
          <w:rFonts w:cs="Arial"/>
          <w:lang w:val="es-MX"/>
        </w:rPr>
        <w:t>Asignatura: Sociedad civil y Bibliotecas públicas</w:t>
      </w:r>
    </w:p>
    <w:p>
      <w:pPr>
        <w:pStyle w:val="style27"/>
        <w:spacing w:after="0" w:before="0" w:line="360" w:lineRule="atLeast"/>
      </w:pPr>
      <w:r>
        <w:rPr>
          <w:sz w:val="22"/>
          <w:i/>
          <w:szCs w:val="22"/>
          <w:iCs/>
          <w:rFonts w:cs="Arial"/>
          <w:lang w:val="es-MX"/>
        </w:rPr>
        <w:t>Docente: Carolina Botero</w:t>
      </w:r>
    </w:p>
    <w:p>
      <w:pPr>
        <w:pStyle w:val="style27"/>
        <w:spacing w:after="0" w:before="0" w:line="360" w:lineRule="atLeast"/>
      </w:pPr>
      <w:r>
        <w:rPr>
          <w:sz w:val="22"/>
          <w:i/>
          <w:szCs w:val="22"/>
          <w:iCs/>
          <w:rFonts w:cs="Arial"/>
          <w:lang w:val="es-MX"/>
        </w:rPr>
        <w:t>Agosto 27 de 2011</w:t>
      </w:r>
    </w:p>
    <w:p>
      <w:pPr>
        <w:pStyle w:val="style27"/>
        <w:spacing w:line="360" w:lineRule="atLeast"/>
      </w:pPr>
      <w:r>
        <w:rPr/>
      </w:r>
    </w:p>
    <w:p>
      <w:pPr>
        <w:pStyle w:val="style27"/>
        <w:jc w:val="center"/>
        <w:spacing w:after="0" w:before="0" w:line="360" w:lineRule="atLeast"/>
      </w:pPr>
      <w:r>
        <w:rPr>
          <w:sz w:val="22"/>
          <w:b/>
          <w:szCs w:val="22"/>
          <w:rFonts w:cs="Arial"/>
          <w:lang w:val="es-MX"/>
        </w:rPr>
        <w:t>Convergencia</w:t>
      </w:r>
    </w:p>
    <w:p>
      <w:pPr>
        <w:pStyle w:val="style27"/>
        <w:jc w:val="center"/>
        <w:spacing w:after="0" w:before="0" w:line="360" w:lineRule="atLeast"/>
      </w:pPr>
      <w:r>
        <w:rPr>
          <w:sz w:val="20"/>
          <w:i/>
          <w:szCs w:val="20"/>
          <w:rFonts w:cs="Arial"/>
          <w:lang w:val="es-MX"/>
        </w:rPr>
        <w:t>Por: Leonardo Ramírez O</w:t>
      </w:r>
    </w:p>
    <w:p>
      <w:pPr>
        <w:pStyle w:val="style27"/>
        <w:jc w:val="center"/>
        <w:spacing w:after="0" w:before="0" w:line="360" w:lineRule="atLeast"/>
      </w:pPr>
      <w:r>
        <w:rPr>
          <w:sz w:val="20"/>
          <w:i/>
          <w:szCs w:val="20"/>
        </w:rPr>
      </w:r>
    </w:p>
    <w:p>
      <w:pPr>
        <w:pStyle w:val="style27"/>
        <w:jc w:val="both"/>
        <w:spacing w:line="360" w:lineRule="atLeast"/>
      </w:pPr>
      <w:r>
        <w:rPr>
          <w:rStyle w:val="style20"/>
        </w:rPr>
        <w:t>Desde el inicio del módulo Sociedad civil, espacio público y nuevas tecnologías de la información hemos venido repasando las ideas al respecto de estos temas enmarcados en espacios de interacción como las bibliotecas públicas vistas como espacios de encuentro, interacción y, por qué no, de formación entre pares. Al tratar estos temas ha surgido la inquietud sobre el papel de las bibliotecas y la participación ciudadana sobre ¿Cómo la biblioteca puede contribuir en la construcción de una opinión crítica sobre lo público en las personas?</w:t>
      </w:r>
    </w:p>
    <w:p>
      <w:pPr>
        <w:pStyle w:val="style27"/>
        <w:jc w:val="both"/>
        <w:spacing w:line="360" w:lineRule="atLeast"/>
      </w:pPr>
      <w:r>
        <w:rPr/>
      </w:r>
    </w:p>
    <w:p>
      <w:pPr>
        <w:pStyle w:val="style27"/>
        <w:jc w:val="both"/>
      </w:pPr>
      <w:r>
        <w:rPr>
          <w:rStyle w:val="style20"/>
          <w:u w:val="single"/>
        </w:rPr>
        <w:t>La esfera de lo público</w:t>
      </w:r>
    </w:p>
    <w:p>
      <w:pPr>
        <w:pStyle w:val="style27"/>
        <w:jc w:val="both"/>
      </w:pPr>
      <w:r>
        <w:rPr/>
        <w:t>Para empezar debemos adentrarnos en el reconocimiento de un espacio que es común a todos y en donde todos podemos participar, opinar y difundir ideas sobre temas de interés general, que nos pueden afectar como sociedad. Si bien este espacio se ha ido transformando a lo largo de la historia y el modo de participar en él ha involucrado diversas formas de difusión como periódicos (y demás impresos), radio, televisión e internet, también se han generado espacios de encuentro en donde las personas pueden reunirse a discutir y exponer sus ideas.</w:t>
      </w:r>
    </w:p>
    <w:p>
      <w:pPr>
        <w:pStyle w:val="style27"/>
        <w:jc w:val="both"/>
      </w:pPr>
      <w:r>
        <w:rPr/>
      </w:r>
    </w:p>
    <w:p>
      <w:pPr>
        <w:pStyle w:val="style27"/>
        <w:jc w:val="both"/>
      </w:pPr>
      <w:r>
        <w:rPr>
          <w:rStyle w:val="style20"/>
          <w:u w:val="single"/>
        </w:rPr>
        <w:t>El papel de las Tecnologías de Información y Comunicación</w:t>
      </w:r>
    </w:p>
    <w:p>
      <w:pPr>
        <w:pStyle w:val="style27"/>
        <w:jc w:val="both"/>
      </w:pPr>
      <w:r>
        <w:rPr/>
        <w:t>Gracias al acelerado avance de las tecnologías y la inclusión global de las personas en un entorno en donde puede burlar las fronteras y opinar sobre temas que afecten a distintas personas en múltiples lugares del mundo se ha creado una red de personas que constantemente se encuentran opinando por distintos medios descentralizados de comunicación muy diferente a las transmisiones tradicionales de radio o televisión en donde pocos tenían el control sobre qué y cómo divulgar cierto tipo de información a un publico masivo de televidentes o radio escuchas que solamente recibían la información y no tenían un medio de expresar o manifestar su opinión respecto a los contenidos recibidos.</w:t>
      </w:r>
    </w:p>
    <w:p>
      <w:pPr>
        <w:pStyle w:val="style27"/>
        <w:jc w:val="both"/>
      </w:pPr>
      <w:r>
        <w:rPr/>
      </w:r>
    </w:p>
    <w:p>
      <w:pPr>
        <w:pStyle w:val="style27"/>
        <w:jc w:val="both"/>
      </w:pPr>
      <w:r>
        <w:rPr/>
        <w:t>El uso de potcast, televisión comunitaria, streaming, entre otros, son manifestaciones que han dado los motivos para repensar lo público ya no como algo limitado en donde pocos pueden comunicar a muchos dentro de un territorio aislado, sino como algo en donde muchos tienen el acceso a la información y pueden cuestionar y debatir asuntos que interesa a muchas parte y que puede generar repercusiones en cualquier otro lugar del planeta. Por ejemplo las manifestaciones del 15M.</w:t>
      </w:r>
    </w:p>
    <w:p>
      <w:pPr>
        <w:pStyle w:val="style27"/>
        <w:jc w:val="both"/>
      </w:pPr>
      <w:r>
        <w:rPr/>
      </w:r>
    </w:p>
    <w:p>
      <w:pPr>
        <w:pStyle w:val="style27"/>
        <w:jc w:val="both"/>
      </w:pPr>
      <w:r>
        <w:rPr>
          <w:rStyle w:val="style20"/>
          <w:u w:val="single"/>
        </w:rPr>
        <w:t>Nuevas formas de participación ciudadana</w:t>
      </w:r>
    </w:p>
    <w:p>
      <w:pPr>
        <w:pStyle w:val="style27"/>
        <w:jc w:val="both"/>
      </w:pPr>
      <w:r>
        <w:rPr/>
        <w:t xml:space="preserve">La facilidad de transmitir y compartir información ha generado que se exijan la transparencia en los asuntos que interesan a diversos tipos de personas en la comunidad. Por ejemplo, en Colombia tenemos el caso de </w:t>
      </w:r>
      <w:r>
        <w:rPr>
          <w:rStyle w:val="style20"/>
        </w:rPr>
        <w:t>Elecciones transparentes</w:t>
      </w:r>
      <w:r>
        <w:rPr/>
        <w:t xml:space="preserve">, una plataforma que le permite a los ciudadanos realizar notificaciones y monitoreos de actividades irregulares en los procesos electorales del país. También se sabe de las marchas masivas de personas convocadas a través de las redes sociales o manifestaciones en la web como el caso de Anonimous y su ataque a las paginas gubernamentales como una negativa a la imposición de la denominada "Ley Lleras". </w:t>
      </w:r>
    </w:p>
    <w:p>
      <w:pPr>
        <w:pStyle w:val="style27"/>
        <w:jc w:val="both"/>
      </w:pPr>
      <w:r>
        <w:rPr/>
        <w:t xml:space="preserve">Como se puede ver los modos en que se han ejercido manifestaciones ciudadanas son muchas y por diversos motivos y medios para lograr un beneficio </w:t>
      </w:r>
      <w:r>
        <w:rPr>
          <w:i w:val="false"/>
          <w:b w:val="false"/>
          <w:iCs w:val="false"/>
          <w:bCs w:val="false"/>
        </w:rPr>
        <w:t>mutuo.</w:t>
      </w:r>
    </w:p>
    <w:p>
      <w:pPr>
        <w:pStyle w:val="style27"/>
        <w:jc w:val="both"/>
      </w:pPr>
      <w:r>
        <w:rPr/>
      </w:r>
    </w:p>
    <w:p>
      <w:pPr>
        <w:pStyle w:val="style27"/>
        <w:jc w:val="both"/>
      </w:pPr>
      <w:r>
        <w:rPr>
          <w:rStyle w:val="style20"/>
          <w:i/>
          <w:b/>
          <w:iCs/>
          <w:bCs/>
        </w:rPr>
        <w:t>Las bibliotecas como laboratorio de ciudadanía</w:t>
      </w:r>
    </w:p>
    <w:p>
      <w:pPr>
        <w:pStyle w:val="style27"/>
        <w:jc w:val="both"/>
      </w:pPr>
      <w:r>
        <w:rPr/>
      </w:r>
    </w:p>
    <w:p>
      <w:pPr>
        <w:pStyle w:val="style27"/>
        <w:jc w:val="both"/>
      </w:pPr>
      <w:r>
        <w:rPr>
          <w:rStyle w:val="style20"/>
          <w:i w:val="false"/>
          <w:iCs w:val="false"/>
        </w:rPr>
        <w:t>Ahora bien, como hemos visto hasta ahora los espacios y medios que las personas han creado para comunicar, compartir y debatir sus opiniones han tomado una nueva dimensión con la llegada de internet y el tsunami de información que en el entorno virtual existe y aunque esto ha favorecido a que las personas puedan tener de manera fácil y rápida la información que necesitan para estar enterados de lo que sucede en el mundo o para solucionar problemas laborales o académicos, también es muy cierto que no toda la información que se encuentra en internet es útil o relevante y que el mal uso de la misma puede ocasionar inconvenientes de todo tipo, principalmente legal</w:t>
      </w:r>
      <w:r>
        <w:rPr>
          <w:rStyle w:val="style20"/>
          <w:i w:val="false"/>
          <w:iCs w:val="false"/>
          <w:rStyle w:val="style23"/>
        </w:rPr>
        <w:footnoteReference w:id="2"/>
      </w:r>
      <w:r>
        <w:rPr>
          <w:rStyle w:val="style20"/>
          <w:i w:val="false"/>
          <w:iCs w:val="false"/>
        </w:rPr>
        <w:t xml:space="preserve">. </w:t>
      </w:r>
    </w:p>
    <w:p>
      <w:pPr>
        <w:pStyle w:val="style27"/>
        <w:jc w:val="both"/>
      </w:pPr>
      <w:r>
        <w:rPr>
          <w:rStyle w:val="style20"/>
          <w:i w:val="false"/>
          <w:iCs w:val="false"/>
        </w:rPr>
        <w:t xml:space="preserve">El hecho de que existan contenidos disponibles de fácil acceso y para todo aquel que cuente con una conexión a internet no quiere decir que sean libres y estén del todo “disponibles”.  En este punto es importante que los profesionales de la información quienes deben estar al tanto de estos temas sean los promotores en sus comunidades del buen uso de los contenidos en la web. </w:t>
      </w:r>
    </w:p>
    <w:p>
      <w:pPr>
        <w:pStyle w:val="style27"/>
        <w:jc w:val="both"/>
      </w:pPr>
      <w:r>
        <w:rPr>
          <w:rStyle w:val="style20"/>
          <w:i w:val="false"/>
          <w:iCs w:val="false"/>
        </w:rPr>
        <w:t xml:space="preserve">No basta con con tener equipos con conexión a internet y estanterías llenas de libros si las personas que hacen uso de los servicios de las bibliotecas no cuentan con una asesoría profesional sobre el uso adecuado de la información, así como también de los derechos y deberes que cada persona tiene a acceder a la información que requiera para satisfacer sus necesidades académicas, laborales o cualquier otra que le sea de provecho y enriquecimiento intelectual. </w:t>
      </w:r>
    </w:p>
    <w:p>
      <w:pPr>
        <w:pStyle w:val="style27"/>
        <w:jc w:val="both"/>
      </w:pPr>
      <w:r>
        <w:rPr>
          <w:rStyle w:val="style20"/>
          <w:i w:val="false"/>
          <w:iCs w:val="false"/>
        </w:rPr>
        <w:t xml:space="preserve">Es por eso que las bibliotecas y los profesionales encargados deben velar por la asesoría en el uso de los recursos y servicios de información desde la biblioteca, replanteándolos siempre de acuerdo a las necesidades de los ciudadanos que  hacen uso de estos servicios evitando a toda costa casos como el de la noticia sobre la prohibición por parte de la </w:t>
      </w:r>
      <w:r>
        <w:rPr>
          <w:rStyle w:val="style20"/>
          <w:i/>
          <w:iCs/>
        </w:rPr>
        <w:t>gobernación del Huila al uso de Blogger y Wordpress en las bibliotecas</w:t>
      </w:r>
      <w:r>
        <w:rPr>
          <w:rStyle w:val="style20"/>
          <w:i w:val="false"/>
          <w:iCs w:val="false"/>
        </w:rPr>
        <w:t xml:space="preserve"> (C. Botero, 2008) Es un tema de cuidado si recordamos el manifiesto de IFLA sobre las Bibliotecas públicas y el acceso a internet en especial a lo referente con el desarrollo personal creativo</w:t>
      </w:r>
      <w:r>
        <w:rPr>
          <w:rStyle w:val="style20"/>
          <w:i w:val="false"/>
          <w:iCs w:val="false"/>
          <w:rStyle w:val="style23"/>
        </w:rPr>
        <w:footnoteReference w:id="3"/>
      </w:r>
      <w:r>
        <w:rPr>
          <w:rStyle w:val="style20"/>
          <w:i w:val="false"/>
          <w:iCs w:val="false"/>
        </w:rPr>
        <w:t>; garantizar el acceso a la información</w:t>
      </w:r>
      <w:r>
        <w:rPr>
          <w:rStyle w:val="style20"/>
          <w:i w:val="false"/>
          <w:iCs w:val="false"/>
          <w:rStyle w:val="style23"/>
        </w:rPr>
        <w:footnoteReference w:id="4"/>
      </w:r>
      <w:r>
        <w:rPr>
          <w:rStyle w:val="style20"/>
          <w:i w:val="false"/>
          <w:iCs w:val="false"/>
        </w:rPr>
        <w:t xml:space="preserve"> y facilitar el uso y manejo de información por medios informáticos</w:t>
      </w:r>
      <w:r>
        <w:rPr>
          <w:rStyle w:val="style20"/>
          <w:i w:val="false"/>
          <w:iCs w:val="false"/>
          <w:rStyle w:val="style23"/>
        </w:rPr>
        <w:footnoteReference w:id="5"/>
      </w:r>
      <w:r>
        <w:rPr>
          <w:rStyle w:val="style20"/>
          <w:i w:val="false"/>
          <w:iCs w:val="false"/>
        </w:rPr>
        <w:t>. Qué pasa con la idea de las bibliotecas como “</w:t>
      </w:r>
      <w:r>
        <w:rPr>
          <w:rStyle w:val="style20"/>
          <w:sz w:val="22"/>
          <w:i/>
          <w:szCs w:val="22"/>
          <w:iCs/>
        </w:rPr>
        <w:t>instituciones vivas que conectan a la gente con los recursos globales de información, las ideas y las obras de creación literaria que ellos buscan</w:t>
      </w:r>
      <w:r>
        <w:rPr>
          <w:rStyle w:val="style20"/>
          <w:i w:val="false"/>
          <w:iCs w:val="false"/>
        </w:rPr>
        <w:t>.” (IFLA, 2002).</w:t>
      </w:r>
    </w:p>
    <w:p>
      <w:pPr>
        <w:pStyle w:val="style27"/>
        <w:jc w:val="both"/>
      </w:pPr>
      <w:r>
        <w:rPr>
          <w:rStyle w:val="style20"/>
          <w:i w:val="false"/>
          <w:iCs w:val="false"/>
        </w:rPr>
        <w:t xml:space="preserve">Si pensamos a la biblioteca como un espacio diferente al del imaginario común sobre un lugar silencioso en donde no se puede discutir, jugar y debatir corriendo el riesgo de estar bajo la mirada inquisidora del personal encargado dispuesto a frenar cualquier acto “irregular” en este espacio, y más bien lo vemos como un lugar en donde se pueda construir y afianzar ideas en comunidad, con espacios para la recreación y el intercambio de diversas expresiones culturales  en donde exista un reconocimiento de la persona así como la apropiación de ésta en un espacio público que es compartido con los otros. </w:t>
      </w:r>
    </w:p>
    <w:p>
      <w:pPr>
        <w:pStyle w:val="style27"/>
        <w:jc w:val="both"/>
      </w:pPr>
      <w:r>
        <w:rPr>
          <w:rStyle w:val="style20"/>
          <w:i w:val="false"/>
          <w:iCs w:val="false"/>
        </w:rPr>
        <w:t xml:space="preserve">Vale la pena rescatar la idea de </w:t>
      </w:r>
      <w:bookmarkStart w:id="0" w:name="altHeadline"/>
      <w:bookmarkEnd w:id="0"/>
      <w:r>
        <w:rPr>
          <w:rStyle w:val="style20"/>
          <w:i w:val="false"/>
          <w:iCs w:val="false"/>
        </w:rPr>
        <w:t>Joshua Prince-Ramus</w:t>
      </w:r>
      <w:r>
        <w:rPr>
          <w:rStyle w:val="style20"/>
          <w:i w:val="false"/>
          <w:iCs w:val="false"/>
        </w:rPr>
        <w:t xml:space="preserve"> sobre una biblioteca pública diferente que cuente con  un espacio mayor para la interacción en contraste con la sección de consulta. Es importante la idea de cambiar no sólo el diseño de las arquitectura física de las bibliotecas, sino, también, cambiar el </w:t>
      </w:r>
      <w:r>
        <w:rPr>
          <w:rStyle w:val="style20"/>
          <w:i/>
          <w:iCs/>
        </w:rPr>
        <w:t>diseño en la arquitectura de los diseños</w:t>
      </w:r>
      <w:r>
        <w:rPr>
          <w:rStyle w:val="style20"/>
          <w:i/>
          <w:iCs/>
          <w:rStyle w:val="style23"/>
        </w:rPr>
        <w:footnoteReference w:id="6"/>
      </w:r>
      <w:r>
        <w:rPr>
          <w:rStyle w:val="style20"/>
          <w:i w:val="false"/>
          <w:iCs w:val="false"/>
        </w:rPr>
        <w:t xml:space="preserve"> y servicios prestados en la biblioteca pública, capacitar a las personas como ciudadanos y no como usuarios de un servicio.</w:t>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both"/>
      </w:pPr>
      <w:r>
        <w:rPr/>
      </w:r>
    </w:p>
    <w:p>
      <w:pPr>
        <w:pStyle w:val="style27"/>
        <w:jc w:val="center"/>
        <w:spacing w:line="360" w:lineRule="atLeast"/>
      </w:pPr>
      <w:r>
        <w:rPr>
          <w:b/>
          <w:bCs/>
        </w:rPr>
        <w:t>Bibliografía</w:t>
      </w:r>
    </w:p>
    <w:p>
      <w:pPr>
        <w:pStyle w:val="style0"/>
        <w:jc w:val="both"/>
        <w:spacing w:line="360" w:lineRule="atLeast"/>
      </w:pPr>
      <w:r>
        <w:rPr/>
        <w:t xml:space="preserve">Botero, Carolina. (2008, September 3). Gobernación del Huila prohibe blogger y wordpress en las bibliotecas públicas. </w:t>
      </w:r>
      <w:r>
        <w:rPr>
          <w:i/>
        </w:rPr>
        <w:t>Carobotero-Co</w:t>
      </w:r>
      <w:r>
        <w:rPr/>
        <w:t xml:space="preserve">. Retrieved from </w:t>
      </w:r>
      <w:hyperlink r:id="rId2">
        <w:r>
          <w:rPr>
            <w:rStyle w:val="style21"/>
          </w:rPr>
          <w:t>http://www.karisma.org.co/carobotero/index.php/2008/09/03/gobernacion-del-huila-prohibe-blogger-y-wordpress-en-las-bibliotecas-publicas/</w:t>
        </w:r>
      </w:hyperlink>
    </w:p>
    <w:p>
      <w:pPr>
        <w:pStyle w:val="style0"/>
        <w:jc w:val="both"/>
        <w:spacing w:line="360" w:lineRule="atLeast"/>
      </w:pPr>
      <w:r>
        <w:rPr/>
      </w:r>
    </w:p>
    <w:p>
      <w:pPr>
        <w:pStyle w:val="style0"/>
        <w:jc w:val="both"/>
        <w:spacing w:line="360" w:lineRule="atLeast"/>
      </w:pPr>
      <w:r>
        <w:rPr/>
        <w:t xml:space="preserve">Kellner, Douglas. (n.n). </w:t>
      </w:r>
      <w:r>
        <w:rPr>
          <w:b w:val="false"/>
          <w:bCs w:val="false"/>
          <w:rFonts w:ascii="Times New Roman" w:cs="Times New Roman" w:hAnsi="Times New Roman"/>
          <w:lang w:val="es-ES"/>
        </w:rPr>
        <w:t xml:space="preserve">Techno-Politics, New Technologies, and the New Public Spheres.  Retrieved from  </w:t>
      </w:r>
      <w:hyperlink r:id="rId3">
        <w:r>
          <w:rPr>
            <w:b w:val="false"/>
            <w:bCs w:val="false"/>
            <w:rStyle w:val="style21"/>
            <w:rFonts w:ascii="Times New Roman" w:cs="Times New Roman" w:hAnsi="Times New Roman"/>
            <w:lang w:val="es-ES"/>
          </w:rPr>
          <w:t>http://www.uta.edu/huma/illuminations/kell32.htm</w:t>
        </w:r>
      </w:hyperlink>
    </w:p>
    <w:p>
      <w:pPr>
        <w:pStyle w:val="style0"/>
        <w:jc w:val="both"/>
        <w:spacing w:line="360" w:lineRule="atLeast"/>
      </w:pPr>
      <w:r>
        <w:rPr/>
      </w:r>
    </w:p>
    <w:p>
      <w:pPr>
        <w:pStyle w:val="style0"/>
        <w:jc w:val="both"/>
        <w:spacing w:line="360" w:lineRule="atLeast"/>
      </w:pPr>
      <w:r>
        <w:rPr>
          <w:b w:val="false"/>
          <w:bCs w:val="false"/>
          <w:rFonts w:ascii="Times New Roman" w:cs="Times New Roman" w:hAnsi="Times New Roman"/>
          <w:lang w:val="es-ES"/>
        </w:rPr>
        <w:t xml:space="preserve">Prince-Ramus, Joshua. (2006). On Seattle's library.  Retrieved from </w:t>
      </w:r>
      <w:hyperlink r:id="rId4">
        <w:r>
          <w:rPr>
            <w:b w:val="false"/>
            <w:bCs w:val="false"/>
            <w:rStyle w:val="style21"/>
            <w:rFonts w:ascii="Times New Roman" w:cs="Times New Roman" w:hAnsi="Times New Roman"/>
            <w:lang w:val="es-ES"/>
          </w:rPr>
          <w:t>http://www.ted.com/talks/joshua_prince_ramus_on_seattle_s_library.html</w:t>
        </w:r>
      </w:hyperlink>
    </w:p>
    <w:p>
      <w:pPr>
        <w:pStyle w:val="style0"/>
        <w:jc w:val="both"/>
        <w:spacing w:line="360" w:lineRule="atLeast"/>
      </w:pPr>
      <w:r>
        <w:rPr/>
      </w:r>
    </w:p>
    <w:p>
      <w:pPr>
        <w:pStyle w:val="style0"/>
        <w:jc w:val="both"/>
        <w:spacing w:line="360" w:lineRule="atLeast"/>
      </w:pPr>
      <w:r>
        <w:rPr/>
        <w:t xml:space="preserve">Ramírez-O, Leonardo. (2011). Sobre el libre acceso en las Bibliotecas: Internet y otros demonios. </w:t>
      </w:r>
      <w:r>
        <w:rPr>
          <w:b w:val="false"/>
          <w:bCs w:val="false"/>
          <w:rFonts w:ascii="Times New Roman" w:cs="Times New Roman" w:hAnsi="Times New Roman"/>
          <w:lang w:val="es-ES"/>
        </w:rPr>
        <w:t xml:space="preserve">Retrieved from </w:t>
      </w:r>
      <w:hyperlink r:id="rId5">
        <w:r>
          <w:rPr>
            <w:b w:val="false"/>
            <w:bCs w:val="false"/>
            <w:rStyle w:val="style21"/>
            <w:rFonts w:ascii="Times New Roman" w:cs="Times New Roman" w:hAnsi="Times New Roman"/>
            <w:lang w:val="es-ES"/>
          </w:rPr>
          <w:t>http://elviandante.wordpress.com/2011/08/19/libre-acceso-a-internet-bibliotecas-como-ejes-de-participacion-social/</w:t>
        </w:r>
      </w:hyperlink>
    </w:p>
    <w:p>
      <w:pPr>
        <w:pStyle w:val="style0"/>
        <w:jc w:val="both"/>
        <w:spacing w:line="360" w:lineRule="atLeast"/>
      </w:pPr>
      <w:r>
        <w:rPr/>
        <w:t xml:space="preserve"> </w:t>
      </w:r>
    </w:p>
    <w:p>
      <w:pPr>
        <w:pStyle w:val="style0"/>
        <w:jc w:val="both"/>
        <w:spacing w:line="360" w:lineRule="atLeast"/>
      </w:pPr>
      <w:r>
        <w:rPr/>
        <w:t xml:space="preserve">IFLA/UNESCO. (1994). Manifiesto de la IFLA/UNESCO sobre la biblioteca pública.  </w:t>
      </w:r>
      <w:r>
        <w:rPr>
          <w:b w:val="false"/>
          <w:bCs w:val="false"/>
          <w:rFonts w:ascii="Times New Roman" w:cs="Times New Roman" w:hAnsi="Times New Roman"/>
          <w:lang w:val="es-ES"/>
        </w:rPr>
        <w:t xml:space="preserve">Retrieved from </w:t>
      </w:r>
      <w:hyperlink r:id="rId6">
        <w:r>
          <w:rPr>
            <w:b w:val="false"/>
            <w:bCs w:val="false"/>
            <w:rStyle w:val="style21"/>
            <w:rFonts w:ascii="Times New Roman" w:cs="Times New Roman" w:hAnsi="Times New Roman"/>
            <w:lang w:val="es-ES"/>
          </w:rPr>
          <w:t>http://archive.ifla.org/VII/s8/unesco/span.htm</w:t>
        </w:r>
      </w:hyperlink>
    </w:p>
    <w:p>
      <w:pPr>
        <w:pStyle w:val="style0"/>
        <w:jc w:val="both"/>
        <w:spacing w:line="360" w:lineRule="atLeast"/>
      </w:pPr>
      <w:r>
        <w:rPr/>
      </w:r>
    </w:p>
    <w:p>
      <w:pPr>
        <w:pStyle w:val="style0"/>
        <w:jc w:val="both"/>
        <w:spacing w:line="360" w:lineRule="atLeast"/>
      </w:pPr>
      <w:r>
        <w:rPr>
          <w:b w:val="false"/>
          <w:bCs w:val="false"/>
          <w:rFonts w:ascii="Times New Roman" w:cs="Times New Roman" w:hAnsi="Times New Roman"/>
          <w:lang w:val="es-ES"/>
        </w:rPr>
        <w:t xml:space="preserve">IFLA/UNESCO. (2002). Manifiesto de la IFLA/UNESCO sobre la biblioteca pública.  Retrieved from </w:t>
      </w:r>
      <w:hyperlink r:id="rId7">
        <w:r>
          <w:rPr>
            <w:b w:val="false"/>
            <w:bCs w:val="false"/>
            <w:rStyle w:val="style21"/>
            <w:rFonts w:ascii="Times New Roman" w:cs="Times New Roman" w:hAnsi="Times New Roman"/>
            <w:lang w:val="es-ES"/>
          </w:rPr>
          <w:t>http://archive.ifla.org/III/misc/im-s.htm</w:t>
        </w:r>
      </w:hyperlink>
    </w:p>
    <w:p>
      <w:pPr>
        <w:pStyle w:val="style0"/>
        <w:jc w:val="both"/>
        <w:spacing w:line="360" w:lineRule="atLeast"/>
      </w:pPr>
      <w:r>
        <w:rPr/>
      </w:r>
    </w:p>
    <w:p>
      <w:pPr>
        <w:pStyle w:val="style0"/>
        <w:jc w:val="both"/>
        <w:spacing w:line="360" w:lineRule="atLeast"/>
      </w:pPr>
      <w:r>
        <w:rPr>
          <w:b w:val="false"/>
          <w:bCs w:val="false"/>
          <w:rFonts w:ascii="Times New Roman" w:cs="Times New Roman" w:hAnsi="Times New Roman"/>
          <w:lang w:val="es-ES"/>
        </w:rPr>
        <w:t xml:space="preserve">Botero, Carolina. (2011). Sociedad civil y bibliotecas públicas. Retrieved from </w:t>
      </w:r>
      <w:hyperlink r:id="rId8">
        <w:r>
          <w:rPr>
            <w:b w:val="false"/>
            <w:bCs w:val="false"/>
            <w:rStyle w:val="style21"/>
            <w:rFonts w:ascii="Times New Roman" w:cs="Times New Roman" w:hAnsi="Times New Roman"/>
            <w:lang w:val="es-ES"/>
          </w:rPr>
          <w:t>http://socibipu.wordpress.com/</w:t>
        </w:r>
      </w:hyperlink>
    </w:p>
    <w:p>
      <w:pPr>
        <w:pStyle w:val="style0"/>
        <w:jc w:val="both"/>
        <w:spacing w:line="360" w:lineRule="atLeast"/>
      </w:pPr>
      <w:r>
        <w:rPr>
          <w:b w:val="false"/>
          <w:bCs w:val="false"/>
          <w:rFonts w:ascii="Times New Roman" w:cs="Times New Roman" w:hAnsi="Times New Roman"/>
          <w:lang w:val="es-ES"/>
        </w:rPr>
        <w:t xml:space="preserve"> </w:t>
      </w:r>
    </w:p>
    <w:sectPr>
      <w:formProt w:val="false"/>
      <w:pgSz w:h="15840" w:w="12240"/>
      <w:docGrid w:charSpace="0" w:linePitch="360" w:type="default"/>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35"/></w:pPr><w:r><w:rPr><w:sz w:val="18"/><w:szCs w:val="18"/></w:rPr><w:tab/><w:t xml:space="preserve">Ver el Documental !Copiad, malditos! En:  </w:t></w:r><w:hyperlink r:id="rId10"><w:r><w:rPr><w:sz w:val="18"/><w:szCs w:val="18"/><w:rStyle w:val="style21"/></w:rPr><w:t>http://www.rtve.es/television/documentales/copiad-malditos/</w:t></w:r></w:hyperlink></w:p></w:footnote><w:footnote w:id="3"><w:p><w:pPr><w:pStyle w:val="style35"/></w:pPr><w:r><w:rPr><w:sz w:val="18"/><w:szCs w:val="18"/></w:rPr><w:tab/><w:t>Numeral 3 del manifiesto IFLA sobre bibliotecas Públicas.</w:t></w:r><w:r><w:rPr></w:rPr><w:t xml:space="preserve"> </w:t></w:r></w:p></w:footnote><w:footnote w:id="4"><w:p><w:pPr><w:pStyle w:val="style35"/></w:pPr><w:r><w:rPr><w:sz w:val="18"/><w:szCs w:val="18"/></w:rPr><w:tab/><w:t>Numeral 9 del manifiesto IFLA sobre bibliotecas Públicas.</w:t></w:r></w:p></w:footnote><w:footnote w:id="5"><w:p><w:pPr><w:pStyle w:val="style35"/></w:pPr><w:r><w:rPr><w:sz w:val="18"/><w:szCs w:val="18"/></w:rPr><w:tab/><w:t>Numeral 11 del manifiesto IFLA sobre bibliotecas Públicas.</w:t></w:r></w:p></w:footnote><w:footnote w:id="6"><w:p><w:pPr><w:pStyle w:val="style35"/></w:pPr><w:r><w:rPr><w:sz w:val="18"/><w:szCs w:val="18"/></w:rPr><w:tab/><w:t xml:space="preserve">Ver comentario de Carolina Botero sobre la publicación: Sobre el libre acceso y las bibliotecas: Internet y otros demonios. Disponible en: </w:t></w:r><w:hyperlink r:id="rId11"><w:r><w:rPr><w:sz w:val="18"/><w:szCs w:val="18"/><w:rStyle w:val="style21"/></w:rPr><w:t>http://elviandante.wordpress.com/2011/08/19/libre-acceso-a-internet-bibliotecas-como-ejes-de-participacion-social/</w:t></w:r></w:hyperlink><w:r><w:rPr><w:sz w:val="18"/><w:szCs w:val="18"/></w:rPr><w:t xml:space="preserve"> </w:t></w:r></w:p></w:footnote></w:footnote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pPr>
    <w:rPr>
      <w:color w:val="auto"/>
      <w:sz w:val="24"/>
      <w:szCs w:val="24"/>
      <w:rFonts w:ascii="Liberation Serif" w:cs="Lohit Hindi" w:eastAsia="WenQuanYi Micro Hei" w:hAnsi="Liberation Serif"/>
      <w:lang w:bidi="hi-IN" w:eastAsia="zh-CN" w:val="es-CO"/>
    </w:rPr>
  </w:style>
  <w:style w:styleId="style1" w:type="paragraph">
    <w:name w:val="Encabezado 1"/>
    <w:basedOn w:val="style26"/>
    <w:next w:val="style27"/>
    <w:pPr>
      <w:outlineLvl w:val="0"/>
    </w:pPr>
    <w:rPr>
      <w:sz w:val="48"/>
      <w:b/>
      <w:szCs w:val="48"/>
      <w:bCs/>
      <w:rFonts w:ascii="Liberation Serif" w:cs="Lohit Hindi" w:eastAsia="WenQuanYi Micro Hei" w:hAnsi="Liberation Serif"/>
    </w:rPr>
  </w:style>
  <w:style w:styleId="style15" w:type="character">
    <w:name w:val="Default Paragraph Font"/>
    <w:next w:val="style15"/>
    <w:rPr/>
  </w:style>
  <w:style w:styleId="style16" w:type="character">
    <w:name w:val="Texto de globo Car"/>
    <w:basedOn w:val="style15"/>
    <w:next w:val="style16"/>
    <w:rPr>
      <w:sz w:val="16"/>
      <w:szCs w:val="16"/>
      <w:rFonts w:ascii="Tahoma" w:cs="Tahoma" w:hAnsi="Tahoma"/>
      <w:lang w:eastAsia="es-CO"/>
    </w:rPr>
  </w:style>
  <w:style w:styleId="style17" w:type="character">
    <w:name w:val="Texto independiente Car"/>
    <w:basedOn w:val="style15"/>
    <w:next w:val="style17"/>
    <w:rPr>
      <w:sz w:val="24"/>
      <w:rFonts w:ascii="Arial" w:hAnsi="Arial"/>
    </w:rPr>
  </w:style>
  <w:style w:styleId="style18" w:type="character">
    <w:name w:val="ListLabel 1"/>
    <w:next w:val="style18"/>
    <w:rPr>
      <w:b/>
    </w:rPr>
  </w:style>
  <w:style w:styleId="style19" w:type="character">
    <w:name w:val="ListLabel 2"/>
    <w:next w:val="style19"/>
    <w:rPr>
      <w:rFonts w:cs="Courier New"/>
    </w:rPr>
  </w:style>
  <w:style w:styleId="style20" w:type="character">
    <w:name w:val="Destacado"/>
    <w:basedOn w:val="style15"/>
    <w:next w:val="style20"/>
    <w:rPr>
      <w:i/>
      <w:iCs/>
    </w:rPr>
  </w:style>
  <w:style w:styleId="style21" w:type="character">
    <w:name w:val="Enlace de Internet"/>
    <w:next w:val="style21"/>
    <w:rPr>
      <w:color w:val="000080"/>
      <w:u w:val="single"/>
      <w:lang w:bidi="es-ES" w:eastAsia="es-ES" w:val="es-ES"/>
    </w:rPr>
  </w:style>
  <w:style w:styleId="style22" w:type="character">
    <w:name w:val="Caracteres de nota al pie"/>
    <w:next w:val="style22"/>
    <w:rPr/>
  </w:style>
  <w:style w:styleId="style23" w:type="character">
    <w:name w:val="Ancla de nota al pie"/>
    <w:next w:val="style23"/>
    <w:rPr>
      <w:vertAlign w:val="superscript"/>
    </w:rPr>
  </w:style>
  <w:style w:styleId="style24" w:type="character">
    <w:name w:val="Ancla de nota final"/>
    <w:next w:val="style24"/>
    <w:rPr>
      <w:vertAlign w:val="superscript"/>
    </w:rPr>
  </w:style>
  <w:style w:styleId="style25" w:type="character">
    <w:name w:val="Caracteres de nota final"/>
    <w:next w:val="style25"/>
    <w:rPr/>
  </w:style>
  <w:style w:styleId="style26" w:type="paragraph">
    <w:name w:val="Encabezado"/>
    <w:basedOn w:val="style0"/>
    <w:next w:val="style27"/>
    <w:pPr>
      <w:keepNext/>
      <w:spacing w:after="120" w:before="240"/>
    </w:pPr>
    <w:rPr>
      <w:sz w:val="28"/>
      <w:szCs w:val="28"/>
      <w:rFonts w:ascii="Liberation Sans" w:cs="Lohit Hindi" w:eastAsia="WenQuanYi Micro Hei" w:hAnsi="Liberation Sans"/>
    </w:rPr>
  </w:style>
  <w:style w:styleId="style27" w:type="paragraph">
    <w:name w:val="Cuerpo de texto"/>
    <w:basedOn w:val="style0"/>
    <w:next w:val="style27"/>
    <w:pPr>
      <w:spacing w:after="120" w:before="0"/>
    </w:pPr>
    <w:rPr>
      <w:rFonts w:ascii="Arial" w:hAnsi="Arial"/>
      <w:lang w:eastAsia="es-ES"/>
    </w:rPr>
  </w:style>
  <w:style w:styleId="style28" w:type="paragraph">
    <w:name w:val="Lista"/>
    <w:basedOn w:val="style27"/>
    <w:next w:val="style28"/>
    <w:pPr/>
    <w:rPr>
      <w:rFonts w:cs="Lohit Hindi"/>
    </w:rPr>
  </w:style>
  <w:style w:styleId="style29" w:type="paragraph">
    <w:name w:val="Etiqueta"/>
    <w:basedOn w:val="style0"/>
    <w:next w:val="style29"/>
    <w:pPr>
      <w:suppressLineNumbers/>
      <w:spacing w:after="120" w:before="120"/>
    </w:pPr>
    <w:rPr>
      <w:sz w:val="24"/>
      <w:i/>
      <w:szCs w:val="24"/>
      <w:iCs/>
      <w:rFonts w:cs="Lohit Hindi"/>
    </w:rPr>
  </w:style>
  <w:style w:styleId="style30" w:type="paragraph">
    <w:name w:val="Índice"/>
    <w:basedOn w:val="style0"/>
    <w:next w:val="style30"/>
    <w:pPr>
      <w:suppressLineNumbers/>
    </w:pPr>
    <w:rPr>
      <w:rFonts w:cs="Lohit Hindi"/>
    </w:rPr>
  </w:style>
  <w:style w:styleId="style31" w:type="paragraph">
    <w:name w:val="Encabezamiento"/>
    <w:basedOn w:val="style0"/>
    <w:next w:val="style31"/>
    <w:pPr>
      <w:tabs>
        <w:tab w:leader="none" w:pos="4986" w:val="center"/>
        <w:tab w:leader="none" w:pos="9972" w:val="right"/>
      </w:tabs>
      <w:keepNext/>
      <w:suppressLineNumbers/>
      <w:spacing w:after="120" w:before="240"/>
    </w:pPr>
    <w:rPr>
      <w:sz w:val="28"/>
      <w:szCs w:val="28"/>
      <w:rFonts w:ascii="Liberation Sans" w:hAnsi="Liberation Sans"/>
    </w:rPr>
  </w:style>
  <w:style w:styleId="style32" w:type="paragraph">
    <w:name w:val="Balloon Text"/>
    <w:basedOn w:val="style0"/>
    <w:next w:val="style32"/>
    <w:pPr/>
    <w:rPr>
      <w:sz w:val="16"/>
      <w:szCs w:val="16"/>
      <w:rFonts w:ascii="Tahoma" w:cs="Tahoma" w:hAnsi="Tahoma"/>
    </w:rPr>
  </w:style>
  <w:style w:styleId="style33" w:type="paragraph">
    <w:name w:val="List Paragraph"/>
    <w:basedOn w:val="style0"/>
    <w:next w:val="style33"/>
    <w:pPr>
      <w:ind w:hanging="0" w:left="720" w:right="0"/>
    </w:pPr>
    <w:rPr/>
  </w:style>
  <w:style w:styleId="style34" w:type="paragraph">
    <w:name w:val="Contenido del marco"/>
    <w:basedOn w:val="style27"/>
    <w:next w:val="style34"/>
    <w:pPr/>
    <w:rPr/>
  </w:style>
  <w:style w:styleId="style35" w:type="paragraph">
    <w:name w:val="Nota al pie"/>
    <w:basedOn w:val="style0"/>
    <w:next w:val="style35"/>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risma.org.co/carobotero/index.php/2008/09/03/gobernacion-del-huila-prohibe-blogger-y-wordpress-en-las-bibliotecas-publicas/" TargetMode="External"/><Relationship Id="rId3" Type="http://schemas.openxmlformats.org/officeDocument/2006/relationships/hyperlink" Target="http://www.uta.edu/huma/illuminations/kell32.htm" TargetMode="External"/><Relationship Id="rId4" Type="http://schemas.openxmlformats.org/officeDocument/2006/relationships/hyperlink" Target="http://www.ted.com/talks/joshua_prince_ramus_on_seattle_s_library.html" TargetMode="External"/><Relationship Id="rId5" Type="http://schemas.openxmlformats.org/officeDocument/2006/relationships/hyperlink" Target="http://elviandante.wordpress.com/2011/08/19/libre-acceso-a-internet-bibliotecas-como-ejes-de-participacion-social/" TargetMode="External"/><Relationship Id="rId6" Type="http://schemas.openxmlformats.org/officeDocument/2006/relationships/hyperlink" Target="http://archive.ifla.org/VII/s8/unesco/span.htm" TargetMode="External"/><Relationship Id="rId7" Type="http://schemas.openxmlformats.org/officeDocument/2006/relationships/hyperlink" Target="http://archive.ifla.org/III/misc/im-s.htm" TargetMode="External"/><Relationship Id="rId8" Type="http://schemas.openxmlformats.org/officeDocument/2006/relationships/hyperlink" Target="http://socibipu.wordpress.com/" TargetMode="External"/><Relationship Id="rId9" Type="http://schemas.openxmlformats.org/officeDocument/2006/relationships/footnotes" Target="footnotes.xml"/><Relationship Id="rId10" Type="http://schemas.openxmlformats.org/officeDocument/2006/relationships/hyperlink" Target="http://www.rtve.es/television/documentales/copiad-malditos/" TargetMode="External"/><Relationship Id="rId11" Type="http://schemas.openxmlformats.org/officeDocument/2006/relationships/hyperlink" Target="http://elviandante.wordpress.com/2011/08/19/libre-acceso-a-internet-bibliotecas-como-ejes-de-participacion-social/" TargetMode="External"/><Relationship Id="rId1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397</TotalTime>
  <Application>LibreOffice/3.3$Unix LibreOffice_project/330m19$Build-301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2011-07-13T13:47:00.00Z</dcterms:created>
  <dc:creator>ydelgado</dc:creator>
  <cp:lastModifiedBy>Sala12</cp:lastModifiedBy>
  <cp:lastPrinted>2011-05-16T16:00:00.00Z</cp:lastPrinted>
  <dcterms:modified xsi:type="dcterms:W3CDTF">2011-08-27T17:45:00.00Z</dcterms:modified>
  <cp:revision>12</cp:revision>
</cp:coreProperties>
</file>